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BC2545" w:rsidRDefault="00963E8B" w:rsidP="006D2A55">
      <w:pPr>
        <w:spacing w:line="480" w:lineRule="auto"/>
        <w:jc w:val="center"/>
        <w:rPr>
          <w:rFonts w:ascii="Times New Roman" w:hAnsi="Times New Roman" w:cs="Times New Roman"/>
          <w:sz w:val="24"/>
          <w:szCs w:val="24"/>
        </w:rPr>
      </w:pPr>
      <w:r w:rsidRPr="006D2A55">
        <w:rPr>
          <w:rFonts w:ascii="Times New Roman" w:hAnsi="Times New Roman" w:cs="Times New Roman"/>
          <w:sz w:val="24"/>
          <w:szCs w:val="24"/>
        </w:rPr>
        <w:t>Covid-19 Analysis in Ireland</w:t>
      </w:r>
    </w:p>
    <w:p w:rsidR="006D2A55" w:rsidRDefault="006D2A55" w:rsidP="006D2A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6D2A55" w:rsidRDefault="006D2A55" w:rsidP="006D2A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Default="006D2A55" w:rsidP="006D2A55">
      <w:pPr>
        <w:spacing w:line="480" w:lineRule="auto"/>
        <w:jc w:val="center"/>
        <w:rPr>
          <w:rFonts w:ascii="Times New Roman" w:hAnsi="Times New Roman" w:cs="Times New Roman"/>
          <w:sz w:val="24"/>
          <w:szCs w:val="24"/>
        </w:rPr>
      </w:pPr>
    </w:p>
    <w:p w:rsidR="006D2A55" w:rsidRPr="006D2A55" w:rsidRDefault="006D2A55" w:rsidP="006D2A55">
      <w:pPr>
        <w:spacing w:line="480" w:lineRule="auto"/>
        <w:jc w:val="center"/>
        <w:rPr>
          <w:rFonts w:ascii="Times New Roman" w:hAnsi="Times New Roman" w:cs="Times New Roman"/>
          <w:sz w:val="24"/>
          <w:szCs w:val="24"/>
        </w:rPr>
      </w:pPr>
    </w:p>
    <w:p w:rsidR="00BC2545" w:rsidRPr="006D2A55" w:rsidRDefault="00963E8B" w:rsidP="006D2A55">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lastRenderedPageBreak/>
        <w:t>Introduction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COVID-19 has been one of the most challenging healthcare issues affecting the world. The problem has affected the economy, political, social, cultural, and other aspects of life. Different researchers across the world have </w:t>
      </w:r>
      <w:r w:rsidR="006D2A55" w:rsidRPr="006D2A55">
        <w:rPr>
          <w:rFonts w:ascii="Times New Roman" w:hAnsi="Times New Roman" w:cs="Times New Roman"/>
          <w:sz w:val="24"/>
          <w:szCs w:val="24"/>
        </w:rPr>
        <w:t>spent</w:t>
      </w:r>
      <w:r w:rsidRPr="006D2A55">
        <w:rPr>
          <w:rFonts w:ascii="Times New Roman" w:hAnsi="Times New Roman" w:cs="Times New Roman"/>
          <w:sz w:val="24"/>
          <w:szCs w:val="24"/>
        </w:rPr>
        <w:t xml:space="preserve"> months working on finding the best treatment for the disease. However, the disease continues to affect millions of people across the world, making it a hard battle to win. In the case of Ireland, there has been over 140,000 confirmed COVD-19 case with approximately 2300 deaths. These values are an indication that the country faces a major healthcare threat, which should be addressed by implementing viable and effective strategies to combat the same. This paper aims at developing an analytical report discussing the trends of COVD-19 infections in the country.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Descriptive and Statistical Summaries</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Descriptive and statistical summaries are used to the features of data in a study. They provide a summary of the sample and measures used for data analysis. During the first and second phases, the number of coronavirus cases in the country has been incre</w:t>
      </w:r>
      <w:r w:rsidR="0018174E">
        <w:rPr>
          <w:rFonts w:ascii="Times New Roman" w:hAnsi="Times New Roman" w:cs="Times New Roman"/>
          <w:sz w:val="24"/>
          <w:szCs w:val="24"/>
        </w:rPr>
        <w:t xml:space="preserve">asing significantly. According tp  CSO (2020) </w:t>
      </w:r>
      <w:r w:rsidRPr="006D2A55">
        <w:rPr>
          <w:rFonts w:ascii="Times New Roman" w:hAnsi="Times New Roman" w:cs="Times New Roman"/>
          <w:sz w:val="24"/>
          <w:szCs w:val="24"/>
        </w:rPr>
        <w:t>the number of COVD-19 cases in the country translates to over 2000 people per 100,000. The area with the highest cases is Dublin, with approximately 48366 cases, which was 55. 5% of the total cases. The three measures of centrality that were used to come up with the number of daily cases where average, mode, and median. According to Marsden, centrality measures play a crucial role in the provision of information about the distribution of data.</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The measures of mean and median have changed significantly between phases 1 and 2. During the peak of phase 1 in 20</w:t>
      </w:r>
      <w:r w:rsidRPr="006D2A55">
        <w:rPr>
          <w:rFonts w:ascii="Times New Roman" w:hAnsi="Times New Roman" w:cs="Times New Roman"/>
          <w:sz w:val="24"/>
          <w:szCs w:val="24"/>
          <w:vertAlign w:val="superscript"/>
        </w:rPr>
        <w:t>th</w:t>
      </w:r>
      <w:r w:rsidRPr="006D2A55">
        <w:rPr>
          <w:rFonts w:ascii="Times New Roman" w:hAnsi="Times New Roman" w:cs="Times New Roman"/>
          <w:sz w:val="24"/>
          <w:szCs w:val="24"/>
        </w:rPr>
        <w:t xml:space="preserve"> April, the total cases were 15, 185, with a 4.2% case fatality rate (CFR)</w:t>
      </w:r>
      <w:r w:rsidR="0018174E">
        <w:rPr>
          <w:rFonts w:ascii="Times New Roman" w:hAnsi="Times New Roman" w:cs="Times New Roman"/>
          <w:sz w:val="24"/>
          <w:szCs w:val="24"/>
        </w:rPr>
        <w:t xml:space="preserve"> (Health Protection and Surveillance Centre, 2020)</w:t>
      </w:r>
      <w:r w:rsidRPr="006D2A55">
        <w:rPr>
          <w:rFonts w:ascii="Times New Roman" w:hAnsi="Times New Roman" w:cs="Times New Roman"/>
          <w:sz w:val="24"/>
          <w:szCs w:val="24"/>
        </w:rPr>
        <w:t xml:space="preserve">. Those that were infected on the </w:t>
      </w:r>
      <w:r w:rsidRPr="006D2A55">
        <w:rPr>
          <w:rFonts w:ascii="Times New Roman" w:hAnsi="Times New Roman" w:cs="Times New Roman"/>
          <w:sz w:val="24"/>
          <w:szCs w:val="24"/>
        </w:rPr>
        <w:lastRenderedPageBreak/>
        <w:t>country were 10613, which was 69.9% of the total cases. In 21</w:t>
      </w:r>
      <w:r w:rsidRPr="006D2A55">
        <w:rPr>
          <w:rFonts w:ascii="Times New Roman" w:hAnsi="Times New Roman" w:cs="Times New Roman"/>
          <w:sz w:val="24"/>
          <w:szCs w:val="24"/>
          <w:vertAlign w:val="superscript"/>
        </w:rPr>
        <w:t>st</w:t>
      </w:r>
      <w:r w:rsidRPr="006D2A55">
        <w:rPr>
          <w:rFonts w:ascii="Times New Roman" w:hAnsi="Times New Roman" w:cs="Times New Roman"/>
          <w:sz w:val="24"/>
          <w:szCs w:val="24"/>
        </w:rPr>
        <w:t xml:space="preserve"> July, the total number of infections were 25,766 with a case fatality ratio of 5.8%. In the peak of phase 2, there were 49962 confirmed cases with a case fatality ratio of 3.19%.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From the information gathered, it can be argued that there was a significant increase in the number of infected people and those who died. Between the start of the 1</w:t>
      </w:r>
      <w:r w:rsidRPr="006D2A55">
        <w:rPr>
          <w:rFonts w:ascii="Times New Roman" w:hAnsi="Times New Roman" w:cs="Times New Roman"/>
          <w:sz w:val="24"/>
          <w:szCs w:val="24"/>
          <w:vertAlign w:val="superscript"/>
        </w:rPr>
        <w:t>st</w:t>
      </w:r>
      <w:r w:rsidRPr="006D2A55">
        <w:rPr>
          <w:rFonts w:ascii="Times New Roman" w:hAnsi="Times New Roman" w:cs="Times New Roman"/>
          <w:sz w:val="24"/>
          <w:szCs w:val="24"/>
        </w:rPr>
        <w:t xml:space="preserve"> phase and the beginning of phase 2, there was an increase in the case fatality ratio; from 4.2% to 5.8%. From the start of phase 2 to the peak of phase 2, there was a significant decrease in the fatality rate, from 5.8% to 3.19%. The decrease of fatality rate is an indication that a vaccine to fight the virus will be available for use as soon as possible.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Measures of Variation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The creation of averages of different data sets is essential because it helps in data analysis and the creation of the perfect average. A 5-day moving average focuses on the combination of the five recent averages, which are connected to each other to form a singular flow (Hansun</w:t>
      </w:r>
      <w:r w:rsidR="0018174E">
        <w:rPr>
          <w:rFonts w:ascii="Times New Roman" w:hAnsi="Times New Roman" w:cs="Times New Roman"/>
          <w:sz w:val="24"/>
          <w:szCs w:val="24"/>
        </w:rPr>
        <w:t>, 2013</w:t>
      </w:r>
      <w:r w:rsidRPr="006D2A55">
        <w:rPr>
          <w:rFonts w:ascii="Times New Roman" w:hAnsi="Times New Roman" w:cs="Times New Roman"/>
          <w:sz w:val="24"/>
          <w:szCs w:val="24"/>
        </w:rPr>
        <w:t xml:space="preserve">). The 5-day moving average indicates that the number of COVD-19 cases has been rising significantly. In 7th October, the number of confirmed cases was approximately 500, which increased to 600 on 8th. There was a significant jump from 600 to 1000 on 9th of October, which was followed by a decrease to 800 on 10th, 810 on 111th and 800 on 12th. The number of cases continued to rise the following day to 1000 on 13 and 1100 on the 14th. On the 15th, there was a decrease to 900 cases and approximately 1200 cases on 16th and 17th. The five-day moving average between these days was 1204.2 cases. The cumulative total was at about 13858 cases.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lang w:val="en-GB" w:eastAsia="en-GB"/>
        </w:rPr>
        <w:lastRenderedPageBreak/>
        <w:drawing>
          <wp:inline distT="0" distB="0" distL="114300" distR="114300">
            <wp:extent cx="5486400" cy="3200400"/>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Chart 1: proportion of confirmed cases</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Figure 1 shows that the number of cases in the country increased exponentially between 7th October and 20th the same month. The 5-day moving average also indicated an increase between the days. This increase provides a clear insight on how the cases have been increasing in the country. This information is necessary when it comes to the development of effective health care strategies to combat the spread of the virus.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Probability Distribution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Probability distribution functions plays an essential role in determination of all possible values that and the probability that a random variable can take within a certain range of values. The provided range is between the minimum and the maximum values. The possible value is a case is, however, determined by several factors, including skewness, kurtosis, mean, and standard deviation (National Institute of Science and Technology</w:t>
      </w:r>
      <w:r w:rsidR="0018174E">
        <w:rPr>
          <w:rFonts w:ascii="Times New Roman" w:hAnsi="Times New Roman" w:cs="Times New Roman"/>
          <w:sz w:val="24"/>
          <w:szCs w:val="24"/>
        </w:rPr>
        <w:t>, 2020</w:t>
      </w:r>
      <w:r w:rsidRPr="006D2A55">
        <w:rPr>
          <w:rFonts w:ascii="Times New Roman" w:hAnsi="Times New Roman" w:cs="Times New Roman"/>
          <w:sz w:val="24"/>
          <w:szCs w:val="24"/>
        </w:rPr>
        <w:t xml:space="preserve">). The most commonly used </w:t>
      </w:r>
      <w:r w:rsidRPr="006D2A55">
        <w:rPr>
          <w:rFonts w:ascii="Times New Roman" w:hAnsi="Times New Roman" w:cs="Times New Roman"/>
          <w:sz w:val="24"/>
          <w:szCs w:val="24"/>
        </w:rPr>
        <w:lastRenderedPageBreak/>
        <w:t>distribution is the bell curve or normal distribution, whereby the maximum and minimum values are on the extreme ends of the distribution. They also show the probability of occurrences, which start between zero and end at 100.</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In this case, the number of cases per age are distributed based on the normal distribution of values. Figure 2 below shows how the cases where distributed between week 10 to week 29. The figure also shows how the cases were distributed in different ages and how they have changed with time.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lang w:val="en-GB" w:eastAsia="en-GB"/>
        </w:rPr>
        <w:drawing>
          <wp:inline distT="0" distB="0" distL="0" distR="0">
            <wp:extent cx="5700889" cy="3476625"/>
            <wp:effectExtent l="0" t="0" r="0" b="0"/>
            <wp:docPr id="102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700889" cy="3476625"/>
                    </a:xfrm>
                    <a:prstGeom prst="rect">
                      <a:avLst/>
                    </a:prstGeom>
                  </pic:spPr>
                </pic:pic>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Chart 2: probability distribution between weeks 10 to 27.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Figure 2 shows that the total number of cases was 8396, with the highest number of victims being between 25 to 64 years of age. Weeks 15 and 16 had the highest number of cases, with the lowest cases being reported between weeks 24 to 27th.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 xml:space="preserve">The use of IQR to report to report the number of health care workers in different age brackets is important because it has a less sensitive measure of how values are spread. Using the interquartile range js necessary because it is resistant to outliers, which makes it easy to identify whether a value is an outlier. Using this range also helps researchers know whether a value is a strong or a weak outlier. Also, this range shows how data is spread out and shows how part the first and third quartile show how data is spread in the middle 50% of the data set.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The three reference dates used are;</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1. Peak of Phase 1 – 20th of April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2. End of Phase 1 / Beginning of Phase 2 – 21st of July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 Peak of Phase 2 – 18th of October</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The probability that a healthcare worker will contract the virus on week 17 was 31.9%, on week 29 was 28.2% and week 42 was 1.6%. There was a very high probability of healthcare workers to contract COVD-19 virus on week 17, with 1243 (31.9%) of the total cases being out of the total cases being healthcare workers. The probability of healthcare professionals contracting the virus decreased in the 29th week to 28.2%, with 44 out of the 156 recorded cases being healthcare workers. By the 42nd week in October, the probability had decreased to 1.6%. The decreasing number of healthcare professionals who contracted the virus shows that strict protection measures have been put in place to improve and protect the wellbeing of workers in health care </w:t>
      </w:r>
      <w:r w:rsidR="0018174E" w:rsidRPr="006D2A55">
        <w:rPr>
          <w:rFonts w:ascii="Times New Roman" w:hAnsi="Times New Roman" w:cs="Times New Roman"/>
          <w:sz w:val="24"/>
          <w:szCs w:val="24"/>
        </w:rPr>
        <w:t>facilities</w:t>
      </w:r>
      <w:r w:rsidR="0018174E">
        <w:rPr>
          <w:rFonts w:ascii="Times New Roman" w:hAnsi="Times New Roman" w:cs="Times New Roman"/>
          <w:sz w:val="24"/>
          <w:szCs w:val="24"/>
        </w:rPr>
        <w:t xml:space="preserve"> (</w:t>
      </w:r>
      <w:r w:rsidR="0018174E" w:rsidRPr="0018174E">
        <w:rPr>
          <w:rFonts w:ascii="Times New Roman" w:hAnsi="Times New Roman" w:cs="Times New Roman"/>
          <w:sz w:val="24"/>
          <w:szCs w:val="24"/>
        </w:rPr>
        <w:t>National Institute of Science and Technology</w:t>
      </w:r>
      <w:r w:rsidR="0018174E">
        <w:rPr>
          <w:rFonts w:ascii="Times New Roman" w:hAnsi="Times New Roman" w:cs="Times New Roman"/>
          <w:sz w:val="24"/>
          <w:szCs w:val="24"/>
        </w:rPr>
        <w:t>, 2021)</w:t>
      </w:r>
      <w:r w:rsidRPr="006D2A55">
        <w:rPr>
          <w:rFonts w:ascii="Times New Roman" w:hAnsi="Times New Roman" w:cs="Times New Roman"/>
          <w:sz w:val="24"/>
          <w:szCs w:val="24"/>
        </w:rPr>
        <w:t xml:space="preserve">. Besides, week 42 indicates a significant decrease in the number of cases compared to the previous points.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Statistical Inference</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Statistical inference can be defined as the process of making decisions about the parameters of a set of data using random sampling. It is used to measure uncertainty in a sample or the variation from one sample t</w:t>
      </w:r>
      <w:r w:rsidR="0018174E">
        <w:rPr>
          <w:rFonts w:ascii="Times New Roman" w:hAnsi="Times New Roman" w:cs="Times New Roman"/>
          <w:sz w:val="24"/>
          <w:szCs w:val="24"/>
        </w:rPr>
        <w:t xml:space="preserve">o another. According to Kurian et al. (2020), </w:t>
      </w:r>
      <w:r w:rsidRPr="006D2A55">
        <w:rPr>
          <w:rFonts w:ascii="Times New Roman" w:hAnsi="Times New Roman" w:cs="Times New Roman"/>
          <w:sz w:val="24"/>
          <w:szCs w:val="24"/>
        </w:rPr>
        <w:t xml:space="preserve">statistical inference is used to help in development of generalized data, which can be further used to provide substantial conclusions. In the case of Ireland, statistical inference was used to identify the uncertainties in the number of cases in each county.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In Carlow, the total cases were 1354, 3362 cases in Cavan, 2966 cases in Clare, 13288 cases in Cork, 5874 cases in Donegal, 48366 cases in Dublin, 4666 cases in Galway, 3036 in Kerry, 6438 in Kildare, 2233 in Kilkenny, 1831 in Laois, 491 in Leitrim, 6633 in Limerick, 1059 in Longford, 5077 in Louth, 2981 in Mayo, 5683 in Meath, 2772 in Monaghan, 1908 in Offaly, 1398 in Roscommon, 1556 in Sligo, 2676 in Tipperary, 2380 in Waterford, 2193 in Westmeath, 3114 in Wexford, and 2560 in Wicklow. From the data, the county with the highest number of cases is Dublin, with 48366 cases. The data is shown in table 1 below.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Table 1: Number of cases per county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75"/>
        <w:gridCol w:w="4675"/>
      </w:tblGrid>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b/>
                <w:bCs/>
                <w:sz w:val="24"/>
                <w:szCs w:val="24"/>
              </w:rPr>
            </w:pPr>
            <w:r w:rsidRPr="006D2A55">
              <w:rPr>
                <w:rFonts w:ascii="Times New Roman" w:hAnsi="Times New Roman" w:cs="Times New Roman"/>
                <w:b/>
                <w:bCs/>
                <w:sz w:val="24"/>
                <w:szCs w:val="24"/>
              </w:rPr>
              <w:t xml:space="preserve">County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b/>
                <w:bCs/>
                <w:sz w:val="24"/>
                <w:szCs w:val="24"/>
              </w:rPr>
            </w:pPr>
            <w:r w:rsidRPr="006D2A55">
              <w:rPr>
                <w:rFonts w:ascii="Times New Roman" w:hAnsi="Times New Roman" w:cs="Times New Roman"/>
                <w:b/>
                <w:bCs/>
                <w:sz w:val="24"/>
                <w:szCs w:val="24"/>
              </w:rPr>
              <w:t>No. Of cases per 100,000</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Carlow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1354</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Cavan</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3362</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Clare</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2966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Cork</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13288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Donegal</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5874</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Dublin</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48366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Galway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4666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Kerry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3036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Kildare</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6438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Kilkenny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2233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Laois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1831</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Leitrim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491</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Limerick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6633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Longford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1059</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Louth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5077</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Mayo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2981</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Meath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5683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Monaghan</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2772</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Ofally</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1908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Roscommon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1398</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Silgo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1556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Tipperary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2676</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lastRenderedPageBreak/>
              <w:t xml:space="preserve">Waterford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2380</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Westmeath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2193</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Wexford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3114</w:t>
            </w:r>
          </w:p>
        </w:tc>
      </w:tr>
      <w:tr w:rsidR="00BC2545" w:rsidRPr="006D2A55">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Wicklow </w:t>
            </w:r>
          </w:p>
        </w:tc>
        <w:tc>
          <w:tcPr>
            <w:tcW w:w="4680" w:type="dxa"/>
            <w:tcBorders>
              <w:top w:val="single" w:sz="4" w:space="0" w:color="auto"/>
              <w:left w:val="single" w:sz="4" w:space="0" w:color="auto"/>
              <w:bottom w:val="single" w:sz="4" w:space="0" w:color="auto"/>
              <w:right w:val="single" w:sz="4" w:space="0" w:color="auto"/>
            </w:tcBorders>
          </w:tcPr>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2560</w:t>
            </w:r>
          </w:p>
        </w:tc>
      </w:tr>
    </w:tbl>
    <w:p w:rsidR="00BC2545" w:rsidRPr="006D2A55" w:rsidRDefault="00BC2545" w:rsidP="006D2A55">
      <w:pPr>
        <w:spacing w:line="480" w:lineRule="auto"/>
        <w:rPr>
          <w:rFonts w:ascii="Times New Roman" w:hAnsi="Times New Roman" w:cs="Times New Roman"/>
          <w:sz w:val="24"/>
          <w:szCs w:val="24"/>
        </w:rPr>
      </w:pP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lang w:val="en-GB" w:eastAsia="en-GB"/>
        </w:rPr>
        <w:drawing>
          <wp:inline distT="0" distB="0" distL="114300" distR="114300">
            <wp:extent cx="5486400" cy="3200400"/>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Chart 3: Number of cases per county</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noProof/>
          <w:sz w:val="24"/>
          <w:szCs w:val="24"/>
          <w:lang w:val="en-GB" w:eastAsia="en-GB"/>
        </w:rPr>
        <w:lastRenderedPageBreak/>
        <w:drawing>
          <wp:inline distT="0" distB="0" distL="114300" distR="114300">
            <wp:extent cx="5486400" cy="3200400"/>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Chart 4: number of cases per age group</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The number of cases per 100,000 people in Galway is 4666, which is very low compared to the number of cases in Dublin. The county with the lowest incidence is Leitrim, with 491 cases</w:t>
      </w:r>
      <w:r w:rsidR="001B3911" w:rsidRPr="001B3911">
        <w:rPr>
          <w:rFonts w:asciiTheme="minorHAnsi" w:eastAsiaTheme="minorHAnsi" w:hAnsiTheme="minorHAnsi" w:cstheme="minorBidi"/>
          <w:lang w:val="en-GB"/>
        </w:rPr>
        <w:t xml:space="preserve"> </w:t>
      </w:r>
      <w:r w:rsidR="001B3911">
        <w:rPr>
          <w:rFonts w:asciiTheme="minorHAnsi" w:eastAsiaTheme="minorHAnsi" w:hAnsiTheme="minorHAnsi" w:cstheme="minorBidi"/>
          <w:lang w:val="en-GB"/>
        </w:rPr>
        <w:t>(</w:t>
      </w:r>
      <w:r w:rsidR="001B3911" w:rsidRPr="001B3911">
        <w:rPr>
          <w:rFonts w:ascii="Times New Roman" w:hAnsi="Times New Roman" w:cs="Times New Roman"/>
          <w:sz w:val="24"/>
          <w:szCs w:val="24"/>
          <w:lang w:val="en-GB"/>
        </w:rPr>
        <w:t>Health P</w:t>
      </w:r>
      <w:r w:rsidR="001B3911">
        <w:rPr>
          <w:rFonts w:ascii="Times New Roman" w:hAnsi="Times New Roman" w:cs="Times New Roman"/>
          <w:sz w:val="24"/>
          <w:szCs w:val="24"/>
          <w:lang w:val="en-GB"/>
        </w:rPr>
        <w:t xml:space="preserve">rotection Surveillance Centre, </w:t>
      </w:r>
      <w:r w:rsidR="001B3911" w:rsidRPr="001B3911">
        <w:rPr>
          <w:rFonts w:ascii="Times New Roman" w:hAnsi="Times New Roman" w:cs="Times New Roman"/>
          <w:sz w:val="24"/>
          <w:szCs w:val="24"/>
          <w:lang w:val="en-GB"/>
        </w:rPr>
        <w:t>2020</w:t>
      </w:r>
      <w:r w:rsidR="001B3911">
        <w:rPr>
          <w:rFonts w:ascii="Times New Roman" w:hAnsi="Times New Roman" w:cs="Times New Roman"/>
          <w:sz w:val="24"/>
          <w:szCs w:val="24"/>
          <w:lang w:val="en-GB"/>
        </w:rPr>
        <w:t>)</w:t>
      </w:r>
      <w:bookmarkStart w:id="0" w:name="_GoBack"/>
      <w:bookmarkEnd w:id="0"/>
      <w:r w:rsidRPr="006D2A55">
        <w:rPr>
          <w:rFonts w:ascii="Times New Roman" w:hAnsi="Times New Roman" w:cs="Times New Roman"/>
          <w:sz w:val="24"/>
          <w:szCs w:val="24"/>
        </w:rPr>
        <w:t xml:space="preserve">. There is a significant statistical difference between the number of cases in Galway compared to the cases in Leitrim. The national average incidence rate is 936.4 cases per 100,000 people in a 14-day average.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 Compared to other European Union countries, Ireland seems to be outperforming them in terms of controlling coronavirus pandemic. According to Horgan-</w:t>
      </w:r>
      <w:r w:rsidR="0018174E" w:rsidRPr="006D2A55">
        <w:rPr>
          <w:rFonts w:ascii="Times New Roman" w:hAnsi="Times New Roman" w:cs="Times New Roman"/>
          <w:sz w:val="24"/>
          <w:szCs w:val="24"/>
        </w:rPr>
        <w:t>Jones</w:t>
      </w:r>
      <w:r w:rsidR="0018174E">
        <w:rPr>
          <w:rFonts w:ascii="Times New Roman" w:hAnsi="Times New Roman" w:cs="Times New Roman"/>
          <w:sz w:val="24"/>
          <w:szCs w:val="24"/>
        </w:rPr>
        <w:t xml:space="preserve"> (2020)</w:t>
      </w:r>
      <w:r w:rsidRPr="006D2A55">
        <w:rPr>
          <w:rFonts w:ascii="Times New Roman" w:hAnsi="Times New Roman" w:cs="Times New Roman"/>
          <w:sz w:val="24"/>
          <w:szCs w:val="24"/>
        </w:rPr>
        <w:t xml:space="preserve">, Ireland has had approximately 30% decrease in the number of cases, while other countries have witnessed a surge in cases. Ireland was identified to be among the countries with the highest notification rate of above 60 people in 100,000 population. The country was among those with people aged 65 years and above having an increase in the number of cases. Ireland had a high weekly test </w:t>
      </w:r>
      <w:r w:rsidRPr="006D2A55">
        <w:rPr>
          <w:rFonts w:ascii="Times New Roman" w:hAnsi="Times New Roman" w:cs="Times New Roman"/>
          <w:sz w:val="24"/>
          <w:szCs w:val="24"/>
        </w:rPr>
        <w:lastRenderedPageBreak/>
        <w:t xml:space="preserve">positivity of at least </w:t>
      </w:r>
      <w:r w:rsidR="0018174E" w:rsidRPr="006D2A55">
        <w:rPr>
          <w:rFonts w:ascii="Times New Roman" w:hAnsi="Times New Roman" w:cs="Times New Roman"/>
          <w:sz w:val="24"/>
          <w:szCs w:val="24"/>
        </w:rPr>
        <w:t>3 %</w:t>
      </w:r>
      <w:r w:rsidR="0018174E">
        <w:rPr>
          <w:rFonts w:ascii="Times New Roman" w:hAnsi="Times New Roman" w:cs="Times New Roman"/>
          <w:sz w:val="24"/>
          <w:szCs w:val="24"/>
        </w:rPr>
        <w:t>( Government of Ireland, 2020)</w:t>
      </w:r>
      <w:r w:rsidRPr="006D2A55">
        <w:rPr>
          <w:rFonts w:ascii="Times New Roman" w:hAnsi="Times New Roman" w:cs="Times New Roman"/>
          <w:sz w:val="24"/>
          <w:szCs w:val="24"/>
        </w:rPr>
        <w:t xml:space="preserve">. Ireland had a 25% hospital and ICU admissions during the peak. Compared to other European countries, Ireland was among those with the highest death rate. From these statistics, it can be identified that Ireland is among the countries with a high number of cases despite its success in controlling the pandemic.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Categorical data/ Multinominal data</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Categorical data can be defined as data that can be divided into groups. Categorical variables are those that have more than one category and can be used to assign units of observation to a particular group based on qualitative properties. </w:t>
      </w:r>
      <w:r w:rsidR="006D2A55" w:rsidRPr="006D2A55">
        <w:rPr>
          <w:rFonts w:ascii="Times New Roman" w:hAnsi="Times New Roman" w:cs="Times New Roman"/>
          <w:sz w:val="24"/>
          <w:szCs w:val="24"/>
        </w:rPr>
        <w:t>Multinomial</w:t>
      </w:r>
      <w:r w:rsidRPr="006D2A55">
        <w:rPr>
          <w:rFonts w:ascii="Times New Roman" w:hAnsi="Times New Roman" w:cs="Times New Roman"/>
          <w:sz w:val="24"/>
          <w:szCs w:val="24"/>
        </w:rPr>
        <w:t xml:space="preserve"> data can be defined as data that is case specific, with each independent variable having a single value for each case. These types of data contrast each other, with one having depended variables and the other having independed variables. These variables are important because they show the relationships between values.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From the CSO statistical release, there was data on the comparison between men and women in terms of life satisfaction. In this survey, there are different categories, that is, sex. There are two categories of data, whereby female show a higher satisfaction in life compared to men. Women had 36.7% overall life satisfaction while men had a 22.9% life satisfaction. Women were more concerned about the health of others compared to men, 27.6% and 20.1% </w:t>
      </w:r>
      <w:r w:rsidR="0018174E" w:rsidRPr="006D2A55">
        <w:rPr>
          <w:rFonts w:ascii="Times New Roman" w:hAnsi="Times New Roman" w:cs="Times New Roman"/>
          <w:sz w:val="24"/>
          <w:szCs w:val="24"/>
        </w:rPr>
        <w:t>respectively</w:t>
      </w:r>
      <w:r w:rsidR="0018174E">
        <w:rPr>
          <w:rFonts w:ascii="Times New Roman" w:hAnsi="Times New Roman" w:cs="Times New Roman"/>
          <w:sz w:val="24"/>
          <w:szCs w:val="24"/>
        </w:rPr>
        <w:t xml:space="preserve"> </w:t>
      </w:r>
      <w:r w:rsidR="001B3911">
        <w:rPr>
          <w:rFonts w:ascii="Times New Roman" w:hAnsi="Times New Roman" w:cs="Times New Roman"/>
          <w:sz w:val="24"/>
          <w:szCs w:val="24"/>
        </w:rPr>
        <w:t>(</w:t>
      </w:r>
      <w:r w:rsidR="001B3911" w:rsidRPr="001B3911">
        <w:rPr>
          <w:rFonts w:ascii="Times New Roman" w:hAnsi="Times New Roman" w:cs="Times New Roman"/>
          <w:sz w:val="24"/>
          <w:szCs w:val="24"/>
        </w:rPr>
        <w:t>Health Protection Surveillance Centre</w:t>
      </w:r>
      <w:r w:rsidR="001B3911">
        <w:rPr>
          <w:rFonts w:ascii="Times New Roman" w:hAnsi="Times New Roman" w:cs="Times New Roman"/>
          <w:sz w:val="24"/>
          <w:szCs w:val="24"/>
        </w:rPr>
        <w:t xml:space="preserve">, 2020). </w:t>
      </w:r>
      <w:r w:rsidR="001B3911" w:rsidRPr="006D2A55">
        <w:rPr>
          <w:rFonts w:ascii="Times New Roman" w:hAnsi="Times New Roman" w:cs="Times New Roman"/>
          <w:sz w:val="24"/>
          <w:szCs w:val="24"/>
        </w:rPr>
        <w:t>There</w:t>
      </w:r>
      <w:r w:rsidRPr="006D2A55">
        <w:rPr>
          <w:rFonts w:ascii="Times New Roman" w:hAnsi="Times New Roman" w:cs="Times New Roman"/>
          <w:sz w:val="24"/>
          <w:szCs w:val="24"/>
        </w:rPr>
        <w:t xml:space="preserve"> is statistical significance in the rate of life satisfaction between men and women where data shows that that women are more caring compared to men. Data also shows that men have a lower life satisfaction. </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From this survey, there is </w:t>
      </w:r>
      <w:r w:rsidR="006D2A55" w:rsidRPr="006D2A55">
        <w:rPr>
          <w:rFonts w:ascii="Times New Roman" w:hAnsi="Times New Roman" w:cs="Times New Roman"/>
          <w:sz w:val="24"/>
          <w:szCs w:val="24"/>
        </w:rPr>
        <w:t>multinomial</w:t>
      </w:r>
      <w:r w:rsidRPr="006D2A55">
        <w:rPr>
          <w:rFonts w:ascii="Times New Roman" w:hAnsi="Times New Roman" w:cs="Times New Roman"/>
          <w:sz w:val="24"/>
          <w:szCs w:val="24"/>
        </w:rPr>
        <w:t xml:space="preserve"> data, with variables like low satisfaction with personal relationships, low satisfaction with financial situation, and low overall life satisfaction. These variables show that men and women have different things that they prefer. These variables are </w:t>
      </w:r>
      <w:r w:rsidRPr="006D2A55">
        <w:rPr>
          <w:rFonts w:ascii="Times New Roman" w:hAnsi="Times New Roman" w:cs="Times New Roman"/>
          <w:sz w:val="24"/>
          <w:szCs w:val="24"/>
        </w:rPr>
        <w:lastRenderedPageBreak/>
        <w:t xml:space="preserve">associated with the fact that men and women have different views on issues that affect them. In this data, it can be concluded that women have a higher percentage in terms of satisfaction. The conclusions show that there is a statistical significance in the data provided about social impacts of COVD-19 on men and women. The data shows that women were not satisfied with life in general as a result of the coronavirus pandemic. These results can be linked to the fact that women play a critical role in the development of the society.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Correlation and Causation</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Most of the researches today prefer to have different variables to ensure that issues are understood in a better way. Correlation is where there is a relationship between the values of two variables</w:t>
      </w:r>
      <w:r w:rsidR="001B3911">
        <w:rPr>
          <w:rFonts w:ascii="Times New Roman" w:hAnsi="Times New Roman" w:cs="Times New Roman"/>
          <w:sz w:val="24"/>
          <w:szCs w:val="24"/>
        </w:rPr>
        <w:t xml:space="preserve"> (Marsden, 2015)</w:t>
      </w:r>
      <w:r w:rsidRPr="006D2A55">
        <w:rPr>
          <w:rFonts w:ascii="Times New Roman" w:hAnsi="Times New Roman" w:cs="Times New Roman"/>
          <w:sz w:val="24"/>
          <w:szCs w:val="24"/>
        </w:rPr>
        <w:t>. On the other hand, causation is whereby the occurrence of one event leads to another. Causation usually used in a developed experiment. Studies aimed at showing causation use different treatments on subjects and the outcomes observed to determine the effects of the phenomenon being researched.</w:t>
      </w:r>
    </w:p>
    <w:p w:rsidR="00BC254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A research showing correlation can be understanding the relationship between an increase in COVD-19 cases and decreased economic growth. In such a research, the variables that are being studied are COVD-19 and economic growth. There is a relationship between these variables; an increase in the number of COVD-19 cases leads to the introduction of strict rules, which restrict movement, trade, and movement of people. In this case, there is a direct relation between the two variables. A study showing causation can be a health study where researchers want to find what causes an increase in COVD-19 cases in some counties compared to others. For example, in the case of Dublin, research can be conducted to determine why there is an increase in COVD-19 cases compared to Leitrim, which has thr lowest cases. In general, a correlation between two </w:t>
      </w:r>
      <w:r w:rsidRPr="006D2A55">
        <w:rPr>
          <w:rFonts w:ascii="Times New Roman" w:hAnsi="Times New Roman" w:cs="Times New Roman"/>
          <w:sz w:val="24"/>
          <w:szCs w:val="24"/>
        </w:rPr>
        <w:lastRenderedPageBreak/>
        <w:t xml:space="preserve">variables cannot lead to the conclusion that one variable causes a change in another. The relationship can be coincidence or caused by the presence of other factors. </w:t>
      </w:r>
    </w:p>
    <w:p w:rsidR="00BC2545" w:rsidRPr="006D2A55" w:rsidRDefault="001B3911" w:rsidP="006D2A5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 conducted by Kurian et al (2020) at Mayo clinic </w:t>
      </w:r>
      <w:r w:rsidR="00963E8B" w:rsidRPr="006D2A55">
        <w:rPr>
          <w:rFonts w:ascii="Times New Roman" w:hAnsi="Times New Roman" w:cs="Times New Roman"/>
          <w:sz w:val="24"/>
          <w:szCs w:val="24"/>
        </w:rPr>
        <w:t xml:space="preserve">seeks to determine whether there is a relationship between digital surveillance using Google trends and accurate collection of data on COVD-19. The research shows that there is a strong correlation between the variables. Variables in this case were digital surveillance using Google trends and accurate data collection. In this case, it can be identified that there is a relationship between the use of surveillance and collection of data. It can be argued that using this technology can help gather data easily and quickly, which can help control the spread of the pandemic. </w:t>
      </w:r>
    </w:p>
    <w:p w:rsidR="00BC2545" w:rsidRPr="006D2A55" w:rsidRDefault="00963E8B" w:rsidP="00AA13E0">
      <w:pPr>
        <w:spacing w:line="480" w:lineRule="auto"/>
        <w:jc w:val="center"/>
        <w:rPr>
          <w:rFonts w:ascii="Times New Roman" w:hAnsi="Times New Roman" w:cs="Times New Roman"/>
          <w:b/>
          <w:bCs/>
          <w:sz w:val="24"/>
          <w:szCs w:val="24"/>
        </w:rPr>
      </w:pPr>
      <w:r w:rsidRPr="006D2A55">
        <w:rPr>
          <w:rFonts w:ascii="Times New Roman" w:hAnsi="Times New Roman" w:cs="Times New Roman"/>
          <w:b/>
          <w:bCs/>
          <w:sz w:val="24"/>
          <w:szCs w:val="24"/>
        </w:rPr>
        <w:t>Summary and Conclusion</w:t>
      </w:r>
    </w:p>
    <w:p w:rsidR="006D2A55" w:rsidRPr="006D2A55" w:rsidRDefault="00963E8B" w:rsidP="006D2A55">
      <w:pPr>
        <w:spacing w:line="480" w:lineRule="auto"/>
        <w:rPr>
          <w:rFonts w:ascii="Times New Roman" w:hAnsi="Times New Roman" w:cs="Times New Roman"/>
          <w:sz w:val="24"/>
          <w:szCs w:val="24"/>
        </w:rPr>
      </w:pPr>
      <w:r w:rsidRPr="006D2A55">
        <w:rPr>
          <w:rFonts w:ascii="Times New Roman" w:hAnsi="Times New Roman" w:cs="Times New Roman"/>
          <w:sz w:val="24"/>
          <w:szCs w:val="24"/>
        </w:rPr>
        <w:t xml:space="preserve">In conclusion, Ireland is among European countries with a high number of cases. The country has had over 140,000 cases and 2300 deaths. Descriptive and statistical data shows that Ireland has had an increasing number of cases. In phase 1, the country had 15185 cases, which increased </w:t>
      </w:r>
      <w:r w:rsidR="006D2A55" w:rsidRPr="006D2A55">
        <w:rPr>
          <w:rFonts w:ascii="Times New Roman" w:hAnsi="Times New Roman" w:cs="Times New Roman"/>
          <w:sz w:val="24"/>
          <w:szCs w:val="24"/>
        </w:rPr>
        <w:t>to 25,766</w:t>
      </w:r>
      <w:r w:rsidRPr="006D2A55">
        <w:rPr>
          <w:rFonts w:ascii="Times New Roman" w:hAnsi="Times New Roman" w:cs="Times New Roman"/>
          <w:sz w:val="24"/>
          <w:szCs w:val="24"/>
        </w:rPr>
        <w:t xml:space="preserve"> in July </w:t>
      </w:r>
      <w:r w:rsidR="006D2A55" w:rsidRPr="006D2A55">
        <w:rPr>
          <w:rFonts w:ascii="Times New Roman" w:hAnsi="Times New Roman" w:cs="Times New Roman"/>
          <w:sz w:val="24"/>
          <w:szCs w:val="24"/>
        </w:rPr>
        <w:t>and 49962</w:t>
      </w:r>
      <w:r w:rsidRPr="006D2A55">
        <w:rPr>
          <w:rFonts w:ascii="Times New Roman" w:hAnsi="Times New Roman" w:cs="Times New Roman"/>
          <w:sz w:val="24"/>
          <w:szCs w:val="24"/>
        </w:rPr>
        <w:t xml:space="preserve"> in October. These statistics show that the</w:t>
      </w:r>
      <w:r w:rsidR="006D2A55" w:rsidRPr="006D2A55">
        <w:rPr>
          <w:rFonts w:ascii="Times New Roman" w:hAnsi="Times New Roman" w:cs="Times New Roman"/>
          <w:sz w:val="24"/>
          <w:szCs w:val="24"/>
        </w:rPr>
        <w:t>re</w:t>
      </w:r>
      <w:r w:rsidRPr="006D2A55">
        <w:rPr>
          <w:rFonts w:ascii="Times New Roman" w:hAnsi="Times New Roman" w:cs="Times New Roman"/>
          <w:sz w:val="24"/>
          <w:szCs w:val="24"/>
        </w:rPr>
        <w:t xml:space="preserve"> is an increasing trend. The 5-day moving average in July shows that the average increased to 1204.2 and a cumulative total of 13858. The cumulative and 5-day average have an increasing trend, which is an indication that the country is still in a high threat. The number of healthcare workers who has contracted the virus was highest between weeks 15 and 16. The probability of healthcare workers to get infected was high in ages 25 - 44 and 45 - 64. By the 42nd week in October, the probability had decreased to 1.6%. The county with the highest number of cases was Dublin, with 48366 and Leitrim with the lowest number of cases, 491. Understanding these statistics is </w:t>
      </w:r>
      <w:r w:rsidRPr="006D2A55">
        <w:rPr>
          <w:rFonts w:ascii="Times New Roman" w:hAnsi="Times New Roman" w:cs="Times New Roman"/>
          <w:sz w:val="24"/>
          <w:szCs w:val="24"/>
        </w:rPr>
        <w:lastRenderedPageBreak/>
        <w:t xml:space="preserve">necessary because it can be used to design effective strategies to control the spread of the virus and protect the most vulnerable populations. </w:t>
      </w:r>
    </w:p>
    <w:p w:rsidR="006D2A55" w:rsidRDefault="006D2A55"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Default="00AA13E0" w:rsidP="006D2A55">
      <w:pPr>
        <w:spacing w:line="480" w:lineRule="auto"/>
        <w:rPr>
          <w:rFonts w:ascii="Times New Roman" w:hAnsi="Times New Roman" w:cs="Times New Roman"/>
          <w:sz w:val="24"/>
          <w:szCs w:val="24"/>
        </w:rPr>
      </w:pPr>
    </w:p>
    <w:p w:rsidR="00AA13E0" w:rsidRPr="006D2A55" w:rsidRDefault="00AA13E0" w:rsidP="006D2A55">
      <w:pPr>
        <w:spacing w:line="480" w:lineRule="auto"/>
        <w:rPr>
          <w:rFonts w:ascii="Times New Roman" w:hAnsi="Times New Roman" w:cs="Times New Roman"/>
          <w:sz w:val="24"/>
          <w:szCs w:val="24"/>
        </w:rPr>
      </w:pPr>
    </w:p>
    <w:p w:rsidR="00B0066B" w:rsidRPr="00B0066B" w:rsidRDefault="00B0066B" w:rsidP="00B0066B">
      <w:pPr>
        <w:spacing w:line="480" w:lineRule="auto"/>
        <w:jc w:val="center"/>
        <w:rPr>
          <w:rFonts w:ascii="Times New Roman" w:hAnsi="Times New Roman" w:cs="Times New Roman"/>
          <w:b/>
          <w:sz w:val="24"/>
          <w:szCs w:val="24"/>
          <w:lang w:val="en-GB"/>
        </w:rPr>
      </w:pPr>
      <w:r w:rsidRPr="00B0066B">
        <w:rPr>
          <w:rFonts w:ascii="Times New Roman" w:hAnsi="Times New Roman" w:cs="Times New Roman"/>
          <w:b/>
          <w:sz w:val="24"/>
          <w:szCs w:val="24"/>
          <w:lang w:val="en-GB"/>
        </w:rPr>
        <w:lastRenderedPageBreak/>
        <w:t>Reference List</w:t>
      </w:r>
    </w:p>
    <w:p w:rsidR="00B0066B" w:rsidRPr="00B0066B" w:rsidRDefault="00B0066B" w:rsidP="00B0066B">
      <w:pPr>
        <w:spacing w:line="480" w:lineRule="auto"/>
        <w:ind w:left="720" w:hanging="720"/>
        <w:rPr>
          <w:rFonts w:ascii="Times New Roman" w:hAnsi="Times New Roman" w:cs="Times New Roman"/>
          <w:sz w:val="24"/>
          <w:szCs w:val="24"/>
          <w:lang w:val="en-GB"/>
        </w:rPr>
      </w:pPr>
      <w:r w:rsidRPr="00B0066B">
        <w:rPr>
          <w:rFonts w:ascii="Times New Roman" w:hAnsi="Times New Roman" w:cs="Times New Roman"/>
          <w:sz w:val="24"/>
          <w:szCs w:val="24"/>
          <w:lang w:val="en-GB"/>
        </w:rPr>
        <w:t>CSO. 2020. Social impact of COVID-19 on women and men, April 2020. CSO - Central Statistics Office. https://www.cso.ie/en/releasesandpublications/er/sic19wm/socialimpactof</w:t>
      </w:r>
      <w:r>
        <w:rPr>
          <w:rFonts w:ascii="Times New Roman" w:hAnsi="Times New Roman" w:cs="Times New Roman"/>
          <w:sz w:val="24"/>
          <w:szCs w:val="24"/>
          <w:lang w:val="en-GB"/>
        </w:rPr>
        <w:t>covid-19onwomenandmenapril2020/</w:t>
      </w:r>
    </w:p>
    <w:p w:rsidR="00B0066B" w:rsidRPr="00B0066B" w:rsidRDefault="00B0066B" w:rsidP="00B0066B">
      <w:pPr>
        <w:spacing w:line="480" w:lineRule="auto"/>
        <w:ind w:left="720" w:hanging="720"/>
        <w:rPr>
          <w:rFonts w:ascii="Times New Roman" w:hAnsi="Times New Roman" w:cs="Times New Roman"/>
          <w:sz w:val="24"/>
          <w:szCs w:val="24"/>
          <w:lang w:val="en-GB"/>
        </w:rPr>
      </w:pPr>
      <w:r w:rsidRPr="00B0066B">
        <w:rPr>
          <w:rFonts w:ascii="Times New Roman" w:hAnsi="Times New Roman" w:cs="Times New Roman"/>
          <w:sz w:val="24"/>
          <w:szCs w:val="24"/>
          <w:lang w:val="en-GB"/>
        </w:rPr>
        <w:t xml:space="preserve">Government of Ireland. 2020. Detailed County statistics. COVID-19 Ireland. </w:t>
      </w:r>
      <w:hyperlink r:id="rId10" w:history="1">
        <w:r w:rsidRPr="00B0066B">
          <w:rPr>
            <w:rStyle w:val="Hyperlink"/>
            <w:rFonts w:ascii="Times New Roman" w:hAnsi="Times New Roman" w:cs="Times New Roman"/>
            <w:sz w:val="24"/>
            <w:szCs w:val="24"/>
            <w:lang w:val="en-GB"/>
          </w:rPr>
          <w:t>https://covid-19.geohive.ie/pages/detailed-county-statistics</w:t>
        </w:r>
      </w:hyperlink>
    </w:p>
    <w:p w:rsidR="00B0066B" w:rsidRPr="00B0066B" w:rsidRDefault="00B0066B" w:rsidP="00B0066B">
      <w:pPr>
        <w:spacing w:line="480" w:lineRule="auto"/>
        <w:ind w:left="720" w:hanging="720"/>
        <w:rPr>
          <w:rFonts w:ascii="Times New Roman" w:hAnsi="Times New Roman" w:cs="Times New Roman"/>
          <w:sz w:val="24"/>
          <w:szCs w:val="24"/>
        </w:rPr>
      </w:pPr>
      <w:r w:rsidRPr="00B0066B">
        <w:rPr>
          <w:rFonts w:ascii="Times New Roman" w:hAnsi="Times New Roman" w:cs="Times New Roman"/>
          <w:sz w:val="24"/>
          <w:szCs w:val="24"/>
        </w:rPr>
        <w:t xml:space="preserve">Hansun, S. 2013“A new approach of moving average method in time series analysis.” </w:t>
      </w:r>
      <w:r w:rsidRPr="00B0066B">
        <w:rPr>
          <w:rFonts w:ascii="Times New Roman" w:hAnsi="Times New Roman" w:cs="Times New Roman"/>
          <w:i/>
          <w:iCs/>
          <w:sz w:val="24"/>
          <w:szCs w:val="24"/>
        </w:rPr>
        <w:t xml:space="preserve">2013 Conference on new media studies (CoNMedia). IEEE. </w:t>
      </w:r>
    </w:p>
    <w:p w:rsidR="00B0066B" w:rsidRPr="00B0066B" w:rsidRDefault="00B0066B" w:rsidP="00B0066B">
      <w:pPr>
        <w:spacing w:line="480" w:lineRule="auto"/>
        <w:ind w:left="720" w:hanging="720"/>
        <w:rPr>
          <w:rFonts w:ascii="Times New Roman" w:hAnsi="Times New Roman" w:cs="Times New Roman"/>
          <w:sz w:val="24"/>
          <w:szCs w:val="24"/>
          <w:lang w:val="en-GB"/>
        </w:rPr>
      </w:pPr>
      <w:r w:rsidRPr="00B0066B">
        <w:rPr>
          <w:rFonts w:ascii="Times New Roman" w:hAnsi="Times New Roman" w:cs="Times New Roman"/>
          <w:sz w:val="24"/>
          <w:szCs w:val="24"/>
          <w:lang w:val="en-GB"/>
        </w:rPr>
        <w:t>Health Protection Surveillance Centre. 2020. COVID-19 cases in healthcare workers. https://www.hpsc.ie/a-z/respiratory/coronavirus/novelcoronavirus/surveillance/covid-19</w:t>
      </w:r>
      <w:r>
        <w:rPr>
          <w:rFonts w:ascii="Times New Roman" w:hAnsi="Times New Roman" w:cs="Times New Roman"/>
          <w:sz w:val="24"/>
          <w:szCs w:val="24"/>
          <w:lang w:val="en-GB"/>
        </w:rPr>
        <w:t>casesinhealthcareworkers/</w:t>
      </w:r>
    </w:p>
    <w:p w:rsidR="00B0066B" w:rsidRPr="00B0066B" w:rsidRDefault="00B0066B" w:rsidP="00B0066B">
      <w:pPr>
        <w:spacing w:line="480" w:lineRule="auto"/>
        <w:ind w:left="720" w:hanging="720"/>
        <w:rPr>
          <w:rFonts w:ascii="Times New Roman" w:hAnsi="Times New Roman" w:cs="Times New Roman"/>
          <w:sz w:val="24"/>
          <w:szCs w:val="24"/>
          <w:lang w:val="en-GB"/>
        </w:rPr>
      </w:pPr>
      <w:r w:rsidRPr="00B0066B">
        <w:rPr>
          <w:rFonts w:ascii="Times New Roman" w:hAnsi="Times New Roman" w:cs="Times New Roman"/>
          <w:sz w:val="24"/>
          <w:szCs w:val="24"/>
          <w:lang w:val="en-GB"/>
        </w:rPr>
        <w:t xml:space="preserve">Health Protection surveillance Centre. 2020. Epidemiology of COVID-19 in Ireland. </w:t>
      </w:r>
      <w:hyperlink r:id="rId11" w:history="1">
        <w:r w:rsidRPr="00B0066B">
          <w:rPr>
            <w:rStyle w:val="Hyperlink"/>
            <w:rFonts w:ascii="Times New Roman" w:hAnsi="Times New Roman" w:cs="Times New Roman"/>
            <w:sz w:val="24"/>
            <w:szCs w:val="24"/>
            <w:lang w:val="en-GB"/>
          </w:rPr>
          <w:t>https://www.hpsc.ie/az/respiratory/coronavirus/novelcoronavirus/casesinireland/epidemiologyofcovid-19inireland/</w:t>
        </w:r>
      </w:hyperlink>
    </w:p>
    <w:p w:rsidR="00B0066B" w:rsidRPr="00B0066B" w:rsidRDefault="00B0066B" w:rsidP="00B0066B">
      <w:pPr>
        <w:spacing w:line="480" w:lineRule="auto"/>
        <w:ind w:left="720" w:hanging="720"/>
        <w:rPr>
          <w:rFonts w:ascii="Times New Roman" w:hAnsi="Times New Roman" w:cs="Times New Roman"/>
          <w:sz w:val="24"/>
          <w:szCs w:val="24"/>
        </w:rPr>
      </w:pPr>
      <w:r w:rsidRPr="00B0066B">
        <w:rPr>
          <w:rFonts w:ascii="Times New Roman" w:hAnsi="Times New Roman" w:cs="Times New Roman"/>
          <w:sz w:val="24"/>
          <w:szCs w:val="24"/>
        </w:rPr>
        <w:t>Horgan-Jones. 2020.Ireland outperforming almost all European countries in controlling spread of COVID-19. https://www.irishtimes.com/news/ireland/irish-news/ireland-outperforming-almost-all-european-countries-in-controlling-spread-of-covid-19-1.4395375%3fmode=amp</w:t>
      </w:r>
    </w:p>
    <w:p w:rsidR="00B0066B" w:rsidRPr="00B0066B" w:rsidRDefault="00B0066B" w:rsidP="00B0066B">
      <w:pPr>
        <w:spacing w:line="480" w:lineRule="auto"/>
        <w:ind w:left="720" w:hanging="720"/>
        <w:rPr>
          <w:rFonts w:ascii="Times New Roman" w:hAnsi="Times New Roman" w:cs="Times New Roman"/>
          <w:sz w:val="24"/>
          <w:szCs w:val="24"/>
          <w:lang w:val="en-GB"/>
        </w:rPr>
      </w:pPr>
    </w:p>
    <w:p w:rsidR="00B0066B" w:rsidRPr="00B0066B" w:rsidRDefault="00B0066B" w:rsidP="00B0066B">
      <w:pPr>
        <w:spacing w:line="480" w:lineRule="auto"/>
        <w:ind w:left="720" w:hanging="720"/>
        <w:rPr>
          <w:rFonts w:ascii="Times New Roman" w:hAnsi="Times New Roman" w:cs="Times New Roman"/>
          <w:sz w:val="24"/>
          <w:szCs w:val="24"/>
          <w:lang w:val="en-GB"/>
        </w:rPr>
      </w:pPr>
      <w:r w:rsidRPr="00B0066B">
        <w:rPr>
          <w:rFonts w:ascii="Times New Roman" w:hAnsi="Times New Roman" w:cs="Times New Roman"/>
          <w:sz w:val="24"/>
          <w:szCs w:val="24"/>
          <w:lang w:val="en-GB"/>
        </w:rPr>
        <w:lastRenderedPageBreak/>
        <w:t xml:space="preserve">Kurian, S., Bhatti, A., Alvi, M., &amp; Shah, N. 2020. Correlations Between COVID-19 Cases and Google Trends Data in the United States: A State-by-State Analysis. Mayo Clinic. </w:t>
      </w:r>
      <w:hyperlink r:id="rId12" w:history="1">
        <w:r w:rsidRPr="00B0066B">
          <w:rPr>
            <w:rStyle w:val="Hyperlink"/>
            <w:rFonts w:ascii="Times New Roman" w:hAnsi="Times New Roman" w:cs="Times New Roman"/>
            <w:sz w:val="24"/>
            <w:szCs w:val="24"/>
            <w:lang w:val="en-GB"/>
          </w:rPr>
          <w:t>https://www.mayoclinicproceedings.org/article/S0025-6196(20)30934-4/fulltext</w:t>
        </w:r>
      </w:hyperlink>
    </w:p>
    <w:p w:rsidR="00B0066B" w:rsidRPr="00B0066B" w:rsidRDefault="00B0066B" w:rsidP="00B0066B">
      <w:pPr>
        <w:spacing w:line="480" w:lineRule="auto"/>
        <w:ind w:left="720" w:hanging="720"/>
        <w:rPr>
          <w:rFonts w:ascii="Times New Roman" w:hAnsi="Times New Roman" w:cs="Times New Roman"/>
          <w:sz w:val="24"/>
          <w:szCs w:val="24"/>
          <w:lang w:val="en-GB"/>
        </w:rPr>
      </w:pPr>
      <w:r w:rsidRPr="00B0066B">
        <w:rPr>
          <w:rFonts w:ascii="Times New Roman" w:hAnsi="Times New Roman" w:cs="Times New Roman"/>
          <w:sz w:val="24"/>
          <w:szCs w:val="24"/>
          <w:lang w:val="en-GB"/>
        </w:rPr>
        <w:t>Marsden, P. V 2015. Encyclopedia of Social Measurement.</w:t>
      </w:r>
    </w:p>
    <w:p w:rsidR="00B0066B" w:rsidRPr="00B0066B" w:rsidRDefault="0018174E" w:rsidP="00B0066B">
      <w:pPr>
        <w:spacing w:line="480" w:lineRule="auto"/>
        <w:ind w:left="720" w:hanging="720"/>
        <w:rPr>
          <w:rFonts w:ascii="Times New Roman" w:hAnsi="Times New Roman" w:cs="Times New Roman"/>
          <w:sz w:val="24"/>
          <w:szCs w:val="24"/>
          <w:lang w:val="en-GB"/>
        </w:rPr>
      </w:pPr>
      <w:r w:rsidRPr="0018174E">
        <w:rPr>
          <w:rFonts w:ascii="Times New Roman" w:hAnsi="Times New Roman" w:cs="Times New Roman"/>
          <w:sz w:val="24"/>
          <w:szCs w:val="24"/>
          <w:lang w:val="en-GB"/>
        </w:rPr>
        <w:t>National Institute of Science and Technology</w:t>
      </w:r>
      <w:r w:rsidR="00B0066B" w:rsidRPr="00B0066B">
        <w:rPr>
          <w:rFonts w:ascii="Times New Roman" w:hAnsi="Times New Roman" w:cs="Times New Roman"/>
          <w:sz w:val="24"/>
          <w:szCs w:val="24"/>
          <w:lang w:val="en-GB"/>
        </w:rPr>
        <w:t>. 2020. 1.3.6.1. What is a probability distribution. https://www.itl.nist.gov/div898/handbook/eda/section3/eda361.htm</w:t>
      </w:r>
    </w:p>
    <w:p w:rsidR="00BC2545" w:rsidRPr="006D2A55" w:rsidRDefault="00BC2545" w:rsidP="00B0066B">
      <w:pPr>
        <w:spacing w:line="480" w:lineRule="auto"/>
        <w:ind w:left="720" w:hanging="720"/>
        <w:rPr>
          <w:rFonts w:ascii="Times New Roman" w:hAnsi="Times New Roman" w:cs="Times New Roman"/>
          <w:sz w:val="24"/>
          <w:szCs w:val="24"/>
        </w:rPr>
      </w:pPr>
    </w:p>
    <w:sectPr w:rsidR="00BC2545" w:rsidRPr="006D2A55" w:rsidSect="006D2A55">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8D8" w:rsidRDefault="004558D8">
      <w:pPr>
        <w:spacing w:after="0" w:line="240" w:lineRule="auto"/>
      </w:pPr>
      <w:r>
        <w:separator/>
      </w:r>
    </w:p>
  </w:endnote>
  <w:endnote w:type="continuationSeparator" w:id="0">
    <w:p w:rsidR="004558D8" w:rsidRDefault="0045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8D8" w:rsidRDefault="004558D8">
      <w:pPr>
        <w:spacing w:after="0" w:line="240" w:lineRule="auto"/>
      </w:pPr>
      <w:r>
        <w:separator/>
      </w:r>
    </w:p>
  </w:footnote>
  <w:footnote w:type="continuationSeparator" w:id="0">
    <w:p w:rsidR="004558D8" w:rsidRDefault="00455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A55" w:rsidRPr="006D2A55" w:rsidRDefault="006D2A55" w:rsidP="006D2A55">
    <w:pPr>
      <w:spacing w:line="480" w:lineRule="auto"/>
      <w:jc w:val="center"/>
      <w:rPr>
        <w:rFonts w:ascii="Times New Roman" w:hAnsi="Times New Roman" w:cs="Times New Roman"/>
        <w:sz w:val="24"/>
        <w:szCs w:val="24"/>
      </w:rPr>
    </w:pPr>
    <w:r w:rsidRPr="006D2A55">
      <w:rPr>
        <w:rFonts w:ascii="Times New Roman" w:hAnsi="Times New Roman" w:cs="Times New Roman"/>
        <w:sz w:val="24"/>
        <w:szCs w:val="24"/>
      </w:rPr>
      <w:t>COVID-19 ANALYSIS IN IRELAND</w:t>
    </w:r>
    <w:r w:rsidRPr="006D2A55">
      <w:rPr>
        <w:rFonts w:ascii="Times New Roman" w:hAnsi="Times New Roman" w:cs="Times New Roman"/>
        <w:sz w:val="24"/>
        <w:szCs w:val="24"/>
      </w:rPr>
      <w:tab/>
    </w:r>
    <w:r w:rsidRPr="006D2A55">
      <w:rPr>
        <w:rFonts w:ascii="Times New Roman" w:hAnsi="Times New Roman" w:cs="Times New Roman"/>
        <w:sz w:val="24"/>
        <w:szCs w:val="24"/>
      </w:rPr>
      <w:tab/>
    </w:r>
    <w:r w:rsidRPr="006D2A55">
      <w:rPr>
        <w:rFonts w:ascii="Times New Roman" w:hAnsi="Times New Roman" w:cs="Times New Roman"/>
        <w:sz w:val="24"/>
        <w:szCs w:val="24"/>
      </w:rPr>
      <w:tab/>
    </w:r>
    <w:r w:rsidRPr="006D2A55">
      <w:rPr>
        <w:rFonts w:ascii="Times New Roman" w:hAnsi="Times New Roman" w:cs="Times New Roman"/>
        <w:sz w:val="24"/>
        <w:szCs w:val="24"/>
      </w:rPr>
      <w:tab/>
    </w:r>
    <w:r w:rsidRPr="006D2A55">
      <w:rPr>
        <w:rFonts w:ascii="Times New Roman" w:hAnsi="Times New Roman" w:cs="Times New Roman"/>
        <w:sz w:val="24"/>
        <w:szCs w:val="24"/>
      </w:rPr>
      <w:tab/>
    </w:r>
    <w:r>
      <w:rPr>
        <w:rFonts w:ascii="Times New Roman" w:hAnsi="Times New Roman" w:cs="Times New Roman"/>
        <w:sz w:val="24"/>
        <w:szCs w:val="24"/>
      </w:rPr>
      <w:tab/>
    </w:r>
    <w:r w:rsidRPr="006D2A55">
      <w:rPr>
        <w:rFonts w:ascii="Times New Roman" w:hAnsi="Times New Roman" w:cs="Times New Roman"/>
        <w:sz w:val="24"/>
        <w:szCs w:val="24"/>
      </w:rPr>
      <w:tab/>
    </w:r>
    <w:sdt>
      <w:sdtPr>
        <w:rPr>
          <w:rFonts w:ascii="Times New Roman" w:hAnsi="Times New Roman" w:cs="Times New Roman"/>
          <w:sz w:val="24"/>
          <w:szCs w:val="24"/>
        </w:rPr>
        <w:id w:val="-914545222"/>
        <w:docPartObj>
          <w:docPartGallery w:val="Page Numbers (Top of Page)"/>
          <w:docPartUnique/>
        </w:docPartObj>
      </w:sdtPr>
      <w:sdtEndPr>
        <w:rPr>
          <w:noProof/>
        </w:rPr>
      </w:sdtEndPr>
      <w:sdtContent>
        <w:r w:rsidRPr="006D2A55">
          <w:rPr>
            <w:rFonts w:ascii="Times New Roman" w:hAnsi="Times New Roman" w:cs="Times New Roman"/>
            <w:sz w:val="24"/>
            <w:szCs w:val="24"/>
          </w:rPr>
          <w:fldChar w:fldCharType="begin"/>
        </w:r>
        <w:r w:rsidRPr="006D2A55">
          <w:rPr>
            <w:rFonts w:ascii="Times New Roman" w:hAnsi="Times New Roman" w:cs="Times New Roman"/>
            <w:sz w:val="24"/>
            <w:szCs w:val="24"/>
          </w:rPr>
          <w:instrText xml:space="preserve"> PAGE   \* MERGEFORMAT </w:instrText>
        </w:r>
        <w:r w:rsidRPr="006D2A55">
          <w:rPr>
            <w:rFonts w:ascii="Times New Roman" w:hAnsi="Times New Roman" w:cs="Times New Roman"/>
            <w:sz w:val="24"/>
            <w:szCs w:val="24"/>
          </w:rPr>
          <w:fldChar w:fldCharType="separate"/>
        </w:r>
        <w:r w:rsidR="001B3911">
          <w:rPr>
            <w:rFonts w:ascii="Times New Roman" w:hAnsi="Times New Roman" w:cs="Times New Roman"/>
            <w:noProof/>
            <w:sz w:val="24"/>
            <w:szCs w:val="24"/>
          </w:rPr>
          <w:t>11</w:t>
        </w:r>
        <w:r w:rsidRPr="006D2A55">
          <w:rPr>
            <w:rFonts w:ascii="Times New Roman" w:hAnsi="Times New Roman" w:cs="Times New Roman"/>
            <w:noProof/>
            <w:sz w:val="24"/>
            <w:szCs w:val="24"/>
          </w:rPr>
          <w:fldChar w:fldCharType="end"/>
        </w:r>
      </w:sdtContent>
    </w:sdt>
  </w:p>
  <w:p w:rsidR="00BC2545" w:rsidRPr="006D2A55" w:rsidRDefault="00BC254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A55" w:rsidRPr="006D2A55" w:rsidRDefault="006D2A55">
    <w:pPr>
      <w:pStyle w:val="Header"/>
      <w:jc w:val="right"/>
      <w:rPr>
        <w:rFonts w:ascii="Times New Roman" w:hAnsi="Times New Roman" w:cs="Times New Roman"/>
        <w:sz w:val="24"/>
        <w:szCs w:val="24"/>
      </w:rPr>
    </w:pPr>
    <w:r w:rsidRPr="006D2A55">
      <w:rPr>
        <w:rFonts w:ascii="Times New Roman" w:hAnsi="Times New Roman" w:cs="Times New Roman"/>
        <w:sz w:val="24"/>
        <w:szCs w:val="24"/>
      </w:rPr>
      <w:t xml:space="preserve">Running head: COVID-19 ANALYSIS IN IRELAND </w:t>
    </w:r>
    <w:r w:rsidRPr="006D2A55">
      <w:rPr>
        <w:rFonts w:ascii="Times New Roman" w:hAnsi="Times New Roman" w:cs="Times New Roman"/>
        <w:sz w:val="24"/>
        <w:szCs w:val="24"/>
      </w:rPr>
      <w:tab/>
    </w:r>
    <w:sdt>
      <w:sdtPr>
        <w:rPr>
          <w:rFonts w:ascii="Times New Roman" w:hAnsi="Times New Roman" w:cs="Times New Roman"/>
          <w:sz w:val="24"/>
          <w:szCs w:val="24"/>
        </w:rPr>
        <w:id w:val="-2115051790"/>
        <w:docPartObj>
          <w:docPartGallery w:val="Page Numbers (Top of Page)"/>
          <w:docPartUnique/>
        </w:docPartObj>
      </w:sdtPr>
      <w:sdtEndPr>
        <w:rPr>
          <w:noProof/>
        </w:rPr>
      </w:sdtEndPr>
      <w:sdtContent>
        <w:r w:rsidRPr="006D2A55">
          <w:rPr>
            <w:rFonts w:ascii="Times New Roman" w:hAnsi="Times New Roman" w:cs="Times New Roman"/>
            <w:sz w:val="24"/>
            <w:szCs w:val="24"/>
          </w:rPr>
          <w:fldChar w:fldCharType="begin"/>
        </w:r>
        <w:r w:rsidRPr="006D2A55">
          <w:rPr>
            <w:rFonts w:ascii="Times New Roman" w:hAnsi="Times New Roman" w:cs="Times New Roman"/>
            <w:sz w:val="24"/>
            <w:szCs w:val="24"/>
          </w:rPr>
          <w:instrText xml:space="preserve"> PAGE   \* MERGEFORMAT </w:instrText>
        </w:r>
        <w:r w:rsidRPr="006D2A55">
          <w:rPr>
            <w:rFonts w:ascii="Times New Roman" w:hAnsi="Times New Roman" w:cs="Times New Roman"/>
            <w:sz w:val="24"/>
            <w:szCs w:val="24"/>
          </w:rPr>
          <w:fldChar w:fldCharType="separate"/>
        </w:r>
        <w:r w:rsidR="001B3911">
          <w:rPr>
            <w:rFonts w:ascii="Times New Roman" w:hAnsi="Times New Roman" w:cs="Times New Roman"/>
            <w:noProof/>
            <w:sz w:val="24"/>
            <w:szCs w:val="24"/>
          </w:rPr>
          <w:t>1</w:t>
        </w:r>
        <w:r w:rsidRPr="006D2A55">
          <w:rPr>
            <w:rFonts w:ascii="Times New Roman" w:hAnsi="Times New Roman" w:cs="Times New Roman"/>
            <w:noProof/>
            <w:sz w:val="24"/>
            <w:szCs w:val="24"/>
          </w:rPr>
          <w:fldChar w:fldCharType="end"/>
        </w:r>
      </w:sdtContent>
    </w:sdt>
  </w:p>
  <w:p w:rsidR="006D2A55" w:rsidRPr="006D2A55" w:rsidRDefault="006D2A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45"/>
    <w:rsid w:val="0018174E"/>
    <w:rsid w:val="001B3911"/>
    <w:rsid w:val="004558D8"/>
    <w:rsid w:val="006D2A55"/>
    <w:rsid w:val="00963E8B"/>
    <w:rsid w:val="00A063AE"/>
    <w:rsid w:val="00AA13E0"/>
    <w:rsid w:val="00B0066B"/>
    <w:rsid w:val="00BC2545"/>
    <w:rsid w:val="00F40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2A2F2E-0E33-4CF9-BB95-7A71AFB2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www.mayoclinicproceedings.org/article/S0025-6196(20)30934-4/fulltex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s://www.hpsc.ie/az/respiratory/coronavirus/novelcoronavirus/casesinireland/epidemiologyofcovid-19inireland/"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covid-19.geohive.ie/pages/detailed-county-statistics" TargetMode="External"/><Relationship Id="rId4" Type="http://schemas.openxmlformats.org/officeDocument/2006/relationships/footnotes" Target="footnotes.xml"/><Relationship Id="rId9" Type="http://schemas.openxmlformats.org/officeDocument/2006/relationships/chart" Target="charts/chart3.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a:t>
            </a:r>
            <a:r>
              <a:rPr lang="en-US" baseline="0"/>
              <a:t> of Proportion of confirmed cases and deaths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deaths </c:v>
                </c:pt>
              </c:strCache>
            </c:strRef>
          </c:tx>
          <c:spPr>
            <a:solidFill>
              <a:schemeClr val="accent1"/>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Sheet1!$B$2:$B$12</c:f>
              <c:numCache>
                <c:formatCode>General</c:formatCode>
                <c:ptCount val="11"/>
                <c:pt idx="0">
                  <c:v>0</c:v>
                </c:pt>
                <c:pt idx="1">
                  <c:v>0</c:v>
                </c:pt>
                <c:pt idx="2">
                  <c:v>1</c:v>
                </c:pt>
                <c:pt idx="3">
                  <c:v>5</c:v>
                </c:pt>
                <c:pt idx="4">
                  <c:v>12</c:v>
                </c:pt>
                <c:pt idx="5">
                  <c:v>24</c:v>
                </c:pt>
                <c:pt idx="6">
                  <c:v>67</c:v>
                </c:pt>
                <c:pt idx="7">
                  <c:v>225</c:v>
                </c:pt>
                <c:pt idx="8">
                  <c:v>514</c:v>
                </c:pt>
                <c:pt idx="9">
                  <c:v>657</c:v>
                </c:pt>
                <c:pt idx="10">
                  <c:v>0</c:v>
                </c:pt>
              </c:numCache>
            </c:numRef>
          </c:val>
        </c:ser>
        <c:ser>
          <c:idx val="1"/>
          <c:order val="1"/>
          <c:tx>
            <c:strRef>
              <c:f>Sheet1!$C$1</c:f>
              <c:strCache>
                <c:ptCount val="1"/>
                <c:pt idx="0">
                  <c:v>case fatality ratio %</c:v>
                </c:pt>
              </c:strCache>
            </c:strRef>
          </c:tx>
          <c:spPr>
            <a:solidFill>
              <a:schemeClr val="accent2"/>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Sheet1!$C$2:$C$12</c:f>
              <c:numCache>
                <c:formatCode>General</c:formatCode>
                <c:ptCount val="11"/>
                <c:pt idx="0">
                  <c:v>0</c:v>
                </c:pt>
                <c:pt idx="1">
                  <c:v>0</c:v>
                </c:pt>
                <c:pt idx="2">
                  <c:v>0.05</c:v>
                </c:pt>
                <c:pt idx="3">
                  <c:v>0.11</c:v>
                </c:pt>
                <c:pt idx="4">
                  <c:v>0.26</c:v>
                </c:pt>
                <c:pt idx="5">
                  <c:v>0.52</c:v>
                </c:pt>
                <c:pt idx="6">
                  <c:v>2.04</c:v>
                </c:pt>
                <c:pt idx="7">
                  <c:v>12.3</c:v>
                </c:pt>
                <c:pt idx="8">
                  <c:v>22.31</c:v>
                </c:pt>
                <c:pt idx="9">
                  <c:v>27.69</c:v>
                </c:pt>
                <c:pt idx="10">
                  <c:v>0</c:v>
                </c:pt>
              </c:numCache>
            </c:numRef>
          </c:val>
        </c:ser>
        <c:ser>
          <c:idx val="2"/>
          <c:order val="2"/>
          <c:tx>
            <c:strRef>
              <c:f>Sheet1!$D$1</c:f>
              <c:strCache>
                <c:ptCount val="1"/>
                <c:pt idx="0">
                  <c:v>number of cases</c:v>
                </c:pt>
              </c:strCache>
            </c:strRef>
          </c:tx>
          <c:spPr>
            <a:solidFill>
              <a:schemeClr val="accent3"/>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Sheet1!$D$2:$D$12</c:f>
              <c:numCache>
                <c:formatCode>General</c:formatCode>
                <c:ptCount val="11"/>
                <c:pt idx="0">
                  <c:v>184</c:v>
                </c:pt>
                <c:pt idx="1">
                  <c:v>340</c:v>
                </c:pt>
                <c:pt idx="2">
                  <c:v>1967</c:v>
                </c:pt>
                <c:pt idx="3">
                  <c:v>4365</c:v>
                </c:pt>
                <c:pt idx="4">
                  <c:v>4540</c:v>
                </c:pt>
                <c:pt idx="5">
                  <c:v>4622</c:v>
                </c:pt>
                <c:pt idx="6">
                  <c:v>3280</c:v>
                </c:pt>
                <c:pt idx="7">
                  <c:v>1829</c:v>
                </c:pt>
                <c:pt idx="8">
                  <c:v>2304</c:v>
                </c:pt>
                <c:pt idx="9">
                  <c:v>2373</c:v>
                </c:pt>
                <c:pt idx="10">
                  <c:v>21</c:v>
                </c:pt>
              </c:numCache>
            </c:numRef>
          </c:val>
        </c:ser>
        <c:ser>
          <c:idx val="3"/>
          <c:order val="3"/>
          <c:tx>
            <c:strRef>
              <c:f>Sheet1!$E$1</c:f>
              <c:strCache>
                <c:ptCount val="1"/>
                <c:pt idx="0">
                  <c:v>cases hospitalized</c:v>
                </c:pt>
              </c:strCache>
            </c:strRef>
          </c:tx>
          <c:spPr>
            <a:solidFill>
              <a:schemeClr val="accent4"/>
            </a:solidFill>
            <a:ln>
              <a:noFill/>
            </a:ln>
            <a:effectLst/>
          </c:spPr>
          <c:invertIfNegative val="0"/>
          <c:cat>
            <c:strRef>
              <c:f>Sheet1!$A$2:$A$12</c:f>
              <c:strCache>
                <c:ptCount val="11"/>
                <c:pt idx="0">
                  <c:v>0-4</c:v>
                </c:pt>
                <c:pt idx="1">
                  <c:v>5, 14</c:v>
                </c:pt>
                <c:pt idx="2">
                  <c:v>15-24</c:v>
                </c:pt>
                <c:pt idx="3">
                  <c:v>24 - 34</c:v>
                </c:pt>
                <c:pt idx="4">
                  <c:v>35 - 44</c:v>
                </c:pt>
                <c:pt idx="5">
                  <c:v>45 - 54 </c:v>
                </c:pt>
                <c:pt idx="6">
                  <c:v>55 - 64</c:v>
                </c:pt>
                <c:pt idx="7">
                  <c:v>65 - 74</c:v>
                </c:pt>
                <c:pt idx="8">
                  <c:v>75 - 84</c:v>
                </c:pt>
                <c:pt idx="9">
                  <c:v>85 +</c:v>
                </c:pt>
                <c:pt idx="10">
                  <c:v>unknown </c:v>
                </c:pt>
              </c:strCache>
            </c:strRef>
          </c:cat>
          <c:val>
            <c:numRef>
              <c:f>Sheet1!$E$2:$E$12</c:f>
              <c:numCache>
                <c:formatCode>General</c:formatCode>
                <c:ptCount val="11"/>
                <c:pt idx="0">
                  <c:v>22</c:v>
                </c:pt>
                <c:pt idx="1">
                  <c:v>18</c:v>
                </c:pt>
                <c:pt idx="2">
                  <c:v>76</c:v>
                </c:pt>
                <c:pt idx="3">
                  <c:v>198</c:v>
                </c:pt>
                <c:pt idx="4">
                  <c:v>274</c:v>
                </c:pt>
                <c:pt idx="5">
                  <c:v>449</c:v>
                </c:pt>
                <c:pt idx="6">
                  <c:v>497</c:v>
                </c:pt>
                <c:pt idx="7">
                  <c:v>587</c:v>
                </c:pt>
                <c:pt idx="8">
                  <c:v>745</c:v>
                </c:pt>
                <c:pt idx="9">
                  <c:v>477</c:v>
                </c:pt>
                <c:pt idx="10">
                  <c:v>1</c:v>
                </c:pt>
              </c:numCache>
            </c:numRef>
          </c:val>
        </c:ser>
        <c:dLbls>
          <c:showLegendKey val="0"/>
          <c:showVal val="0"/>
          <c:showCatName val="0"/>
          <c:showSerName val="0"/>
          <c:showPercent val="0"/>
          <c:showBubbleSize val="0"/>
        </c:dLbls>
        <c:gapWidth val="182"/>
        <c:axId val="616433520"/>
        <c:axId val="616430384"/>
      </c:barChart>
      <c:catAx>
        <c:axId val="6164335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 (years)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30384"/>
        <c:crosses val="autoZero"/>
        <c:auto val="1"/>
        <c:lblAlgn val="ctr"/>
        <c:lblOffset val="100"/>
        <c:noMultiLvlLbl val="0"/>
      </c:catAx>
      <c:valAx>
        <c:axId val="6164303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Proportion of confirmed cases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33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 of</a:t>
            </a:r>
            <a:r>
              <a:rPr lang="en-US" baseline="0"/>
              <a:t> Number of Cases Per County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strRef>
              <c:f>Sheet1!$A$2:$A$27</c:f>
              <c:strCache>
                <c:ptCount val="26"/>
                <c:pt idx="0">
                  <c:v>Carlow </c:v>
                </c:pt>
                <c:pt idx="1">
                  <c:v>Cavan</c:v>
                </c:pt>
                <c:pt idx="2">
                  <c:v>Clare</c:v>
                </c:pt>
                <c:pt idx="3">
                  <c:v>Cork</c:v>
                </c:pt>
                <c:pt idx="4">
                  <c:v>Donegal</c:v>
                </c:pt>
                <c:pt idx="5">
                  <c:v>Dublin</c:v>
                </c:pt>
                <c:pt idx="6">
                  <c:v>Galway </c:v>
                </c:pt>
                <c:pt idx="7">
                  <c:v>Kerry </c:v>
                </c:pt>
                <c:pt idx="8">
                  <c:v>Kildare</c:v>
                </c:pt>
                <c:pt idx="9">
                  <c:v>Kilkenny </c:v>
                </c:pt>
                <c:pt idx="10">
                  <c:v>Laois </c:v>
                </c:pt>
                <c:pt idx="11">
                  <c:v>Leitrim </c:v>
                </c:pt>
                <c:pt idx="12">
                  <c:v>Limerick </c:v>
                </c:pt>
                <c:pt idx="13">
                  <c:v>Longford </c:v>
                </c:pt>
                <c:pt idx="14">
                  <c:v>Louth </c:v>
                </c:pt>
                <c:pt idx="15">
                  <c:v>Mayo </c:v>
                </c:pt>
                <c:pt idx="16">
                  <c:v>Meath </c:v>
                </c:pt>
                <c:pt idx="17">
                  <c:v>Monaghan</c:v>
                </c:pt>
                <c:pt idx="18">
                  <c:v>Ofally</c:v>
                </c:pt>
                <c:pt idx="19">
                  <c:v>Roscommon </c:v>
                </c:pt>
                <c:pt idx="20">
                  <c:v>Silgo </c:v>
                </c:pt>
                <c:pt idx="21">
                  <c:v>Tipperary </c:v>
                </c:pt>
                <c:pt idx="22">
                  <c:v>Waterford </c:v>
                </c:pt>
                <c:pt idx="23">
                  <c:v>Westmeath </c:v>
                </c:pt>
                <c:pt idx="24">
                  <c:v>Wexford </c:v>
                </c:pt>
                <c:pt idx="25">
                  <c:v>Wicklow </c:v>
                </c:pt>
              </c:strCache>
            </c:strRef>
          </c:cat>
          <c:val>
            <c:numRef>
              <c:f>Sheet1!$B$2:$B$27</c:f>
              <c:numCache>
                <c:formatCode>General</c:formatCode>
                <c:ptCount val="26"/>
                <c:pt idx="0">
                  <c:v>1354</c:v>
                </c:pt>
                <c:pt idx="1">
                  <c:v>3362</c:v>
                </c:pt>
                <c:pt idx="2">
                  <c:v>2966</c:v>
                </c:pt>
                <c:pt idx="3">
                  <c:v>13288</c:v>
                </c:pt>
                <c:pt idx="4">
                  <c:v>5874</c:v>
                </c:pt>
                <c:pt idx="5">
                  <c:v>48366</c:v>
                </c:pt>
                <c:pt idx="6">
                  <c:v>4666</c:v>
                </c:pt>
                <c:pt idx="7">
                  <c:v>3036</c:v>
                </c:pt>
                <c:pt idx="8">
                  <c:v>6438</c:v>
                </c:pt>
                <c:pt idx="9">
                  <c:v>2233</c:v>
                </c:pt>
                <c:pt idx="10">
                  <c:v>1831</c:v>
                </c:pt>
                <c:pt idx="11">
                  <c:v>491</c:v>
                </c:pt>
                <c:pt idx="12">
                  <c:v>6633</c:v>
                </c:pt>
                <c:pt idx="13">
                  <c:v>1059</c:v>
                </c:pt>
                <c:pt idx="14">
                  <c:v>5077</c:v>
                </c:pt>
                <c:pt idx="15">
                  <c:v>2981</c:v>
                </c:pt>
                <c:pt idx="16">
                  <c:v>5683</c:v>
                </c:pt>
                <c:pt idx="17">
                  <c:v>2772</c:v>
                </c:pt>
                <c:pt idx="18">
                  <c:v>1908</c:v>
                </c:pt>
                <c:pt idx="19">
                  <c:v>1398</c:v>
                </c:pt>
                <c:pt idx="20">
                  <c:v>1556</c:v>
                </c:pt>
                <c:pt idx="21">
                  <c:v>2676</c:v>
                </c:pt>
                <c:pt idx="22">
                  <c:v>2380</c:v>
                </c:pt>
                <c:pt idx="23">
                  <c:v>2193</c:v>
                </c:pt>
                <c:pt idx="24">
                  <c:v>3114</c:v>
                </c:pt>
                <c:pt idx="25">
                  <c:v>2560</c:v>
                </c:pt>
              </c:numCache>
            </c:numRef>
          </c:val>
          <c:smooth val="0"/>
        </c:ser>
        <c:ser>
          <c:idx val="1"/>
          <c:order val="1"/>
          <c:tx>
            <c:strRef>
              <c:f>Sheet1!$C$1</c:f>
              <c:strCache>
                <c:ptCount val="1"/>
                <c:pt idx="0">
                  <c:v>Column1</c:v>
                </c:pt>
              </c:strCache>
            </c:strRef>
          </c:tx>
          <c:spPr>
            <a:ln w="28575" cap="rnd">
              <a:solidFill>
                <a:schemeClr val="accent2"/>
              </a:solidFill>
              <a:round/>
            </a:ln>
            <a:effectLst/>
          </c:spPr>
          <c:marker>
            <c:symbol val="none"/>
          </c:marker>
          <c:cat>
            <c:strRef>
              <c:f>Sheet1!$A$2:$A$27</c:f>
              <c:strCache>
                <c:ptCount val="26"/>
                <c:pt idx="0">
                  <c:v>Carlow </c:v>
                </c:pt>
                <c:pt idx="1">
                  <c:v>Cavan</c:v>
                </c:pt>
                <c:pt idx="2">
                  <c:v>Clare</c:v>
                </c:pt>
                <c:pt idx="3">
                  <c:v>Cork</c:v>
                </c:pt>
                <c:pt idx="4">
                  <c:v>Donegal</c:v>
                </c:pt>
                <c:pt idx="5">
                  <c:v>Dublin</c:v>
                </c:pt>
                <c:pt idx="6">
                  <c:v>Galway </c:v>
                </c:pt>
                <c:pt idx="7">
                  <c:v>Kerry </c:v>
                </c:pt>
                <c:pt idx="8">
                  <c:v>Kildare</c:v>
                </c:pt>
                <c:pt idx="9">
                  <c:v>Kilkenny </c:v>
                </c:pt>
                <c:pt idx="10">
                  <c:v>Laois </c:v>
                </c:pt>
                <c:pt idx="11">
                  <c:v>Leitrim </c:v>
                </c:pt>
                <c:pt idx="12">
                  <c:v>Limerick </c:v>
                </c:pt>
                <c:pt idx="13">
                  <c:v>Longford </c:v>
                </c:pt>
                <c:pt idx="14">
                  <c:v>Louth </c:v>
                </c:pt>
                <c:pt idx="15">
                  <c:v>Mayo </c:v>
                </c:pt>
                <c:pt idx="16">
                  <c:v>Meath </c:v>
                </c:pt>
                <c:pt idx="17">
                  <c:v>Monaghan</c:v>
                </c:pt>
                <c:pt idx="18">
                  <c:v>Ofally</c:v>
                </c:pt>
                <c:pt idx="19">
                  <c:v>Roscommon </c:v>
                </c:pt>
                <c:pt idx="20">
                  <c:v>Silgo </c:v>
                </c:pt>
                <c:pt idx="21">
                  <c:v>Tipperary </c:v>
                </c:pt>
                <c:pt idx="22">
                  <c:v>Waterford </c:v>
                </c:pt>
                <c:pt idx="23">
                  <c:v>Westmeath </c:v>
                </c:pt>
                <c:pt idx="24">
                  <c:v>Wexford </c:v>
                </c:pt>
                <c:pt idx="25">
                  <c:v>Wicklow </c:v>
                </c:pt>
              </c:strCache>
            </c:strRef>
          </c:cat>
          <c:val>
            <c:numRef>
              <c:f>Sheet1!$C$2:$C$27</c:f>
              <c:numCache>
                <c:formatCode>General</c:formatCode>
                <c:ptCount val="26"/>
              </c:numCache>
            </c:numRef>
          </c:val>
          <c:smooth val="0"/>
        </c:ser>
        <c:ser>
          <c:idx val="2"/>
          <c:order val="2"/>
          <c:tx>
            <c:strRef>
              <c:f>Sheet1!$D$1</c:f>
              <c:strCache>
                <c:ptCount val="1"/>
                <c:pt idx="0">
                  <c:v>Column2</c:v>
                </c:pt>
              </c:strCache>
            </c:strRef>
          </c:tx>
          <c:spPr>
            <a:ln w="28575" cap="rnd">
              <a:solidFill>
                <a:schemeClr val="accent3"/>
              </a:solidFill>
              <a:round/>
            </a:ln>
            <a:effectLst/>
          </c:spPr>
          <c:marker>
            <c:symbol val="none"/>
          </c:marker>
          <c:cat>
            <c:strRef>
              <c:f>Sheet1!$A$2:$A$27</c:f>
              <c:strCache>
                <c:ptCount val="26"/>
                <c:pt idx="0">
                  <c:v>Carlow </c:v>
                </c:pt>
                <c:pt idx="1">
                  <c:v>Cavan</c:v>
                </c:pt>
                <c:pt idx="2">
                  <c:v>Clare</c:v>
                </c:pt>
                <c:pt idx="3">
                  <c:v>Cork</c:v>
                </c:pt>
                <c:pt idx="4">
                  <c:v>Donegal</c:v>
                </c:pt>
                <c:pt idx="5">
                  <c:v>Dublin</c:v>
                </c:pt>
                <c:pt idx="6">
                  <c:v>Galway </c:v>
                </c:pt>
                <c:pt idx="7">
                  <c:v>Kerry </c:v>
                </c:pt>
                <c:pt idx="8">
                  <c:v>Kildare</c:v>
                </c:pt>
                <c:pt idx="9">
                  <c:v>Kilkenny </c:v>
                </c:pt>
                <c:pt idx="10">
                  <c:v>Laois </c:v>
                </c:pt>
                <c:pt idx="11">
                  <c:v>Leitrim </c:v>
                </c:pt>
                <c:pt idx="12">
                  <c:v>Limerick </c:v>
                </c:pt>
                <c:pt idx="13">
                  <c:v>Longford </c:v>
                </c:pt>
                <c:pt idx="14">
                  <c:v>Louth </c:v>
                </c:pt>
                <c:pt idx="15">
                  <c:v>Mayo </c:v>
                </c:pt>
                <c:pt idx="16">
                  <c:v>Meath </c:v>
                </c:pt>
                <c:pt idx="17">
                  <c:v>Monaghan</c:v>
                </c:pt>
                <c:pt idx="18">
                  <c:v>Ofally</c:v>
                </c:pt>
                <c:pt idx="19">
                  <c:v>Roscommon </c:v>
                </c:pt>
                <c:pt idx="20">
                  <c:v>Silgo </c:v>
                </c:pt>
                <c:pt idx="21">
                  <c:v>Tipperary </c:v>
                </c:pt>
                <c:pt idx="22">
                  <c:v>Waterford </c:v>
                </c:pt>
                <c:pt idx="23">
                  <c:v>Westmeath </c:v>
                </c:pt>
                <c:pt idx="24">
                  <c:v>Wexford </c:v>
                </c:pt>
                <c:pt idx="25">
                  <c:v>Wicklow </c:v>
                </c:pt>
              </c:strCache>
            </c:strRef>
          </c:cat>
          <c:val>
            <c:numRef>
              <c:f>Sheet1!$D$2:$D$27</c:f>
              <c:numCache>
                <c:formatCode>General</c:formatCode>
                <c:ptCount val="26"/>
              </c:numCache>
            </c:numRef>
          </c:val>
          <c:smooth val="0"/>
        </c:ser>
        <c:dLbls>
          <c:showLegendKey val="0"/>
          <c:showVal val="0"/>
          <c:showCatName val="0"/>
          <c:showSerName val="0"/>
          <c:showPercent val="0"/>
          <c:showBubbleSize val="0"/>
        </c:dLbls>
        <c:smooth val="0"/>
        <c:axId val="616430776"/>
        <c:axId val="616435480"/>
      </c:lineChart>
      <c:catAx>
        <c:axId val="6164307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35480"/>
        <c:crosses val="autoZero"/>
        <c:auto val="1"/>
        <c:lblAlgn val="ctr"/>
        <c:lblOffset val="100"/>
        <c:noMultiLvlLbl val="0"/>
      </c:catAx>
      <c:valAx>
        <c:axId val="616435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cases per 100000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307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Chart of number of cases per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number of cases</c:v>
                </c:pt>
              </c:strCache>
            </c:strRef>
          </c:tx>
          <c:spPr>
            <a:ln w="28575" cap="rnd">
              <a:noFill/>
              <a:round/>
            </a:ln>
            <a:effectLst/>
          </c:spPr>
          <c:marker>
            <c:symbol val="circle"/>
            <c:size val="5"/>
            <c:spPr>
              <a:solidFill>
                <a:schemeClr val="accent1"/>
              </a:solidFill>
              <a:ln w="9525">
                <a:solidFill>
                  <a:schemeClr val="accent1"/>
                </a:solidFill>
              </a:ln>
              <a:effectLst/>
            </c:spPr>
          </c:marker>
          <c:xVal>
            <c:strRef>
              <c:f>Sheet1!$A$2:$A$12</c:f>
              <c:strCache>
                <c:ptCount val="9"/>
                <c:pt idx="0">
                  <c:v>0 -4</c:v>
                </c:pt>
                <c:pt idx="1">
                  <c:v>5,14</c:v>
                </c:pt>
                <c:pt idx="2">
                  <c:v>15 - 24</c:v>
                </c:pt>
                <c:pt idx="3">
                  <c:v>25 - 34</c:v>
                </c:pt>
                <c:pt idx="4">
                  <c:v>35 - 44</c:v>
                </c:pt>
                <c:pt idx="5">
                  <c:v>45 - 54</c:v>
                </c:pt>
                <c:pt idx="6">
                  <c:v>55 - 64</c:v>
                </c:pt>
                <c:pt idx="7">
                  <c:v>65 +</c:v>
                </c:pt>
                <c:pt idx="8">
                  <c:v>unknown </c:v>
                </c:pt>
              </c:strCache>
            </c:strRef>
          </c:xVal>
          <c:yVal>
            <c:numRef>
              <c:f>Sheet1!$B$2:$B$12</c:f>
              <c:numCache>
                <c:formatCode>General</c:formatCode>
                <c:ptCount val="11"/>
                <c:pt idx="0">
                  <c:v>84</c:v>
                </c:pt>
                <c:pt idx="1">
                  <c:v>161</c:v>
                </c:pt>
                <c:pt idx="2">
                  <c:v>1008</c:v>
                </c:pt>
                <c:pt idx="3">
                  <c:v>2557</c:v>
                </c:pt>
                <c:pt idx="4">
                  <c:v>2744</c:v>
                </c:pt>
                <c:pt idx="5">
                  <c:v>2943</c:v>
                </c:pt>
                <c:pt idx="6">
                  <c:v>2184</c:v>
                </c:pt>
                <c:pt idx="7">
                  <c:v>3488</c:v>
                </c:pt>
                <c:pt idx="8">
                  <c:v>24</c:v>
                </c:pt>
              </c:numCache>
            </c:numRef>
          </c:yVal>
          <c:smooth val="0"/>
        </c:ser>
        <c:dLbls>
          <c:showLegendKey val="0"/>
          <c:showVal val="0"/>
          <c:showCatName val="0"/>
          <c:showSerName val="0"/>
          <c:showPercent val="0"/>
          <c:showBubbleSize val="0"/>
        </c:dLbls>
        <c:axId val="616434696"/>
        <c:axId val="616436264"/>
      </c:scatterChart>
      <c:valAx>
        <c:axId val="6164346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Ages 0 to</a:t>
                </a:r>
                <a:r>
                  <a:rPr lang="en-US" baseline="0"/>
                  <a:t> +65</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36264"/>
        <c:crosses val="autoZero"/>
        <c:crossBetween val="midCat"/>
      </c:valAx>
      <c:valAx>
        <c:axId val="616436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a:t>
                </a:r>
                <a:r>
                  <a:rPr lang="en-US" baseline="0"/>
                  <a:t> cases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43469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user</cp:lastModifiedBy>
  <cp:revision>2</cp:revision>
  <dcterms:created xsi:type="dcterms:W3CDTF">2021-01-11T09:40:00Z</dcterms:created>
  <dcterms:modified xsi:type="dcterms:W3CDTF">2021-01-11T09:40:00Z</dcterms:modified>
</cp:coreProperties>
</file>